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 СЕЛЬСОВЕТА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E1ED6" w:rsidRDefault="00CE1ED6" w:rsidP="002537D4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от  8 ноября  2021г. №33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муниципальную программу «Развитие культуры на территории Среднеапоченского сельсовета Горшеченского района Курской области»</w:t>
      </w:r>
    </w:p>
    <w:p w:rsidR="00CD0B2A" w:rsidRDefault="00CD0B2A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у</w:t>
      </w:r>
      <w:r w:rsidR="00CE1ED6">
        <w:rPr>
          <w:rFonts w:ascii="Arial" w:hAnsi="Arial" w:cs="Arial"/>
          <w:b/>
          <w:bCs/>
          <w:sz w:val="32"/>
          <w:szCs w:val="32"/>
          <w:lang w:eastAsia="ru-RU"/>
        </w:rPr>
        <w:t xml:space="preserve">твержденную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Постановлением администрации Среднеапоченского сельсовета Горшеченского района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2 декабря 2020 года  №33 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E1ED6" w:rsidRDefault="00CE1ED6" w:rsidP="002537D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1.Внести в муниципальную программу «Развитие культуры на территории Среднеапоченского сельсовета Горшеченского района Курской области» </w:t>
      </w:r>
    </w:p>
    <w:p w:rsidR="00CE1ED6" w:rsidRDefault="00CE1ED6" w:rsidP="002537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следующие изменения:</w:t>
      </w:r>
    </w:p>
    <w:p w:rsidR="00CE1ED6" w:rsidRDefault="00CE1ED6" w:rsidP="002537D4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- в разделе «объемы и источники финансирования программы» цифры 8585,4 тыс.рублей  ; 2023 год-1430,9,; 2024 год-1430,9,; заменить на  цифры 8248,1тыс.рублей;2023 год-1230,2 ,2024 год-1294,3.</w:t>
      </w:r>
    </w:p>
    <w:p w:rsidR="00CE1ED6" w:rsidRDefault="00CE1ED6" w:rsidP="002537D4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- в пункте №5 «объемы и источники финансирования программы» слова 8585,4 тыс.рублей  ; 2023 год-1430,9 ,; 2024 год-1430,9,; заменить на слова 8248,1тыс.рублей;2023 год-1230,2,2024 год-1294,3;.     </w:t>
      </w:r>
    </w:p>
    <w:p w:rsidR="00CE1ED6" w:rsidRDefault="00CE1ED6" w:rsidP="002537D4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в приложении №3 таблицы расходы 2023 год сумма 1430,9 заменить на  1230,2 ,2024 год сумма 1430,9 заменить на  1294,3,           </w:t>
      </w:r>
    </w:p>
    <w:p w:rsidR="00CE1ED6" w:rsidRDefault="00CE1ED6" w:rsidP="002537D4">
      <w:pPr>
        <w:tabs>
          <w:tab w:val="left" w:pos="73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2.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>
        <w:rPr>
          <w:rFonts w:ascii="Arial" w:hAnsi="Arial" w:cs="Arial"/>
          <w:sz w:val="24"/>
          <w:szCs w:val="24"/>
          <w:lang w:eastAsia="ru-RU"/>
        </w:rPr>
        <w:t> Контроль за исполнением настоящего Постановления оставляю за собой.</w:t>
      </w:r>
    </w:p>
    <w:p w:rsidR="00CE1ED6" w:rsidRDefault="00CE1ED6" w:rsidP="002537D4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 </w:t>
      </w:r>
    </w:p>
    <w:p w:rsidR="00CE1ED6" w:rsidRDefault="00CE1ED6" w:rsidP="00253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3.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>
        <w:rPr>
          <w:rFonts w:ascii="Arial" w:hAnsi="Arial" w:cs="Arial"/>
          <w:sz w:val="24"/>
          <w:szCs w:val="24"/>
          <w:lang w:eastAsia="ru-RU"/>
        </w:rPr>
        <w:t xml:space="preserve">  Настоящее постановление вступает в силу с момента его официального обнародования  на информационных стендах Администрации Среднеапоченского сельсовета и подлежит его размещению на официальном сайте Администрации  Среднеапоченского сельсовета в сети Интернет 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sredneapochensky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E1ED6" w:rsidRDefault="00CE1ED6" w:rsidP="002537D4">
      <w:pPr>
        <w:jc w:val="both"/>
        <w:rPr>
          <w:rFonts w:ascii="Arial" w:hAnsi="Arial" w:cs="Arial"/>
          <w:sz w:val="24"/>
          <w:szCs w:val="24"/>
        </w:rPr>
      </w:pPr>
    </w:p>
    <w:p w:rsidR="00CE1ED6" w:rsidRDefault="00CE1ED6" w:rsidP="002537D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Среднеапоченского сельсовета:                                         В.Н.Сверчкова</w:t>
      </w:r>
    </w:p>
    <w:p w:rsidR="00CE1ED6" w:rsidRDefault="00CE1ED6" w:rsidP="002537D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2537D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6671BE" w:rsidRDefault="00CE1ED6" w:rsidP="006671B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Ут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верждена постановлением Администрации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>
        <w:rPr>
          <w:rFonts w:ascii="Arial" w:hAnsi="Arial" w:cs="Arial"/>
          <w:sz w:val="24"/>
          <w:szCs w:val="24"/>
        </w:rPr>
        <w:t xml:space="preserve">от </w:t>
      </w:r>
      <w:r w:rsidR="00CD0B2A">
        <w:rPr>
          <w:rFonts w:ascii="Arial" w:hAnsi="Arial" w:cs="Arial"/>
          <w:sz w:val="24"/>
          <w:szCs w:val="24"/>
        </w:rPr>
        <w:t>8.11.2021 №33</w:t>
      </w:r>
      <w:bookmarkStart w:id="0" w:name="_GoBack"/>
      <w:bookmarkEnd w:id="0"/>
    </w:p>
    <w:p w:rsidR="00CE1ED6" w:rsidRPr="00C432CA" w:rsidRDefault="00CE1ED6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057F35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CE1ED6" w:rsidRPr="00057F35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 района Курской 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CE1ED6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E1ED6" w:rsidRPr="00057F35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CE1ED6" w:rsidRPr="00057F35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CE1ED6" w:rsidRDefault="00CE1ED6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 района Курской 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на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рской области»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№ 3612-I «Основы законодательства Российской Федерации о культуре»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(с изменениями и дополнениями),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Постановление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кого района Курской области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порядка принятия решений о разработке муниципальных целевых программ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их формирования, реализации и проведения оценки эффективности»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CE1ED6" w:rsidRPr="008C4FD9">
        <w:trPr>
          <w:trHeight w:val="678"/>
        </w:trPr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CE1ED6" w:rsidRPr="008C4FD9" w:rsidRDefault="00CE1ED6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Головищенский СК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1.Подпрограмма «Искусство» муниципальной программы  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«Среднеапоченский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CE1ED6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Подпрограмма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ипальном образовании «Среднеапоченский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учреждениях, по сравнению с 2020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«Среднеапоченский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Горшеченского района Курской области, участвующего в культурно-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досуговых мероприятиях, проводимых муниципальными учреждениями культуры, проценты;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2028 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CE1ED6" w:rsidRPr="008C4FD9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8248,1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E1ED6" w:rsidRPr="008C4FD9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– 1230,2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CE1ED6" w:rsidRPr="008C4FD9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 год – 1294,3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CE1ED6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2025 год – 1430,9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CE1ED6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2026 год -  1430,9 тыс  рублей</w:t>
            </w:r>
          </w:p>
          <w:p w:rsidR="00CE1ED6" w:rsidRDefault="00CE1ED6" w:rsidP="005E1E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2027 год -  1430,9 тыс  рублей</w:t>
            </w:r>
          </w:p>
          <w:p w:rsidR="00CE1ED6" w:rsidRDefault="00CE1ED6" w:rsidP="005E1E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2028 год -  1430,9 тыс  рублей</w:t>
            </w:r>
          </w:p>
          <w:p w:rsidR="00CE1ED6" w:rsidRPr="008C4FD9" w:rsidRDefault="00CE1ED6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E1ED6" w:rsidRPr="008C4FD9">
        <w:tc>
          <w:tcPr>
            <w:tcW w:w="2518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укрепление единого культурного пространства;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перевод отрасли на инновационный путь развития, превращение культуры в наиболее современную 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привлекательную сферу общественной деятельности. Широкое внедрение информационных технологий в сферу культуры;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CE1ED6" w:rsidRPr="008C4FD9" w:rsidRDefault="00CE1ED6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Реализуя конституционные права граждан в сфере культуры, учреждения культуры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состоянию на 01.01.2021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г. отрасль культуры на терри</w:t>
      </w:r>
      <w:r>
        <w:rPr>
          <w:rFonts w:ascii="Arial" w:hAnsi="Arial" w:cs="Arial"/>
          <w:sz w:val="24"/>
          <w:szCs w:val="24"/>
          <w:lang w:eastAsia="ru-RU"/>
        </w:rPr>
        <w:t>тории Среднеапоченского сельсовета  включает 3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работающи</w:t>
      </w:r>
      <w:r>
        <w:rPr>
          <w:rFonts w:ascii="Arial" w:hAnsi="Arial" w:cs="Arial"/>
          <w:sz w:val="24"/>
          <w:szCs w:val="24"/>
          <w:lang w:eastAsia="ru-RU"/>
        </w:rPr>
        <w:t>х в указанной сфере составляет 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CE1ED6" w:rsidRPr="00E464F8" w:rsidRDefault="00CE1ED6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t>Структура 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</w:t>
      </w:r>
      <w:r>
        <w:rPr>
          <w:rFonts w:ascii="Arial" w:hAnsi="Arial" w:cs="Arial"/>
          <w:sz w:val="24"/>
          <w:szCs w:val="24"/>
          <w:lang w:eastAsia="ru-RU"/>
        </w:rPr>
        <w:t>бласти по состоянию на 01.01.2021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1"/>
        <w:gridCol w:w="4750"/>
      </w:tblGrid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1618C6" w:rsidRDefault="00CE1ED6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CE1ED6" w:rsidRPr="001618C6" w:rsidRDefault="00CE1ED6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CE1ED6" w:rsidRPr="00C432CA" w:rsidRDefault="00CE1ED6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29.12.1994 г. №78-ФЗ «О библиотечном деле»;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от 22.08.1996 №126-ФЗ «О государственной поддержке кинематографии Российской Федерации»;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17.11.2008 г. № 1662-р;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театрального дела в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распоряжением Правительства Российской Федерации от 10.06.2011 г. № 1019-р;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приказом Министерства культуры Российской Федерации от 20.07.2011 г. № 807;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Центрального федерального округа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06.09.2011 г. №1540-р;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Курской области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постановлением Курской областной Думы от 24.05.2007 г. №381-IVОД;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CE1ED6" w:rsidRPr="005968A2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CE1ED6" w:rsidRPr="008C4FD9" w:rsidRDefault="00CE1ED6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>
        <w:rPr>
          <w:rFonts w:ascii="Arial" w:hAnsi="Arial" w:cs="Arial"/>
          <w:sz w:val="24"/>
          <w:szCs w:val="24"/>
          <w:lang w:eastAsia="ru-RU"/>
        </w:rPr>
        <w:t>МКУК «Среднеапоченский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МКУК «Среднедороженский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Головищенский СК;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CE1ED6" w:rsidRPr="005968A2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</w:t>
      </w:r>
      <w:r>
        <w:rPr>
          <w:rFonts w:ascii="Arial" w:hAnsi="Arial" w:cs="Arial"/>
          <w:sz w:val="24"/>
          <w:szCs w:val="24"/>
          <w:lang w:eastAsia="ru-RU"/>
        </w:rPr>
        <w:t xml:space="preserve">ультуры области на период до 2028 </w:t>
      </w:r>
      <w:r w:rsidRPr="00C432CA">
        <w:rPr>
          <w:rFonts w:ascii="Arial" w:hAnsi="Arial" w:cs="Arial"/>
          <w:sz w:val="24"/>
          <w:szCs w:val="24"/>
          <w:lang w:eastAsia="ru-RU"/>
        </w:rPr>
        <w:t>года.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указанных задач и достижение главно</w:t>
      </w:r>
      <w:r>
        <w:rPr>
          <w:rFonts w:ascii="Arial" w:hAnsi="Arial" w:cs="Arial"/>
          <w:sz w:val="24"/>
          <w:szCs w:val="24"/>
          <w:lang w:eastAsia="ru-RU"/>
        </w:rPr>
        <w:t>й цели Программы позволит к 2028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достигнуть следующих основных результатов: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удовлетворение потребностей различных категорий граждан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внедрение эффективного контракта и доведение к </w:t>
      </w:r>
      <w:r>
        <w:rPr>
          <w:rFonts w:ascii="Arial" w:hAnsi="Arial" w:cs="Arial"/>
          <w:sz w:val="24"/>
          <w:szCs w:val="24"/>
          <w:lang w:eastAsia="ru-RU"/>
        </w:rPr>
        <w:t>2028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регионе.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</w:t>
      </w:r>
      <w:r>
        <w:rPr>
          <w:rFonts w:ascii="Arial" w:hAnsi="Arial" w:cs="Arial"/>
          <w:sz w:val="24"/>
          <w:szCs w:val="24"/>
          <w:lang w:eastAsia="ru-RU"/>
        </w:rPr>
        <w:t xml:space="preserve"> ее реализации на период до 2028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</w:t>
      </w:r>
      <w:r>
        <w:rPr>
          <w:rFonts w:ascii="Arial" w:hAnsi="Arial" w:cs="Arial"/>
          <w:sz w:val="24"/>
          <w:szCs w:val="24"/>
          <w:lang w:eastAsia="ru-RU"/>
        </w:rPr>
        <w:t>иями культуры по сравнению с 2020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п. 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Это позволит жителям п. 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населения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</w:t>
      </w:r>
      <w:r>
        <w:rPr>
          <w:rFonts w:ascii="Arial" w:hAnsi="Arial" w:cs="Arial"/>
          <w:sz w:val="24"/>
          <w:szCs w:val="24"/>
          <w:lang w:eastAsia="ru-RU"/>
        </w:rPr>
        <w:t>уществляться  с 2023 по 2028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1"/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поддержка творческих инициатив населения, молодых дарований, а также организаций в сфере культуры;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2"/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CE1ED6" w:rsidRDefault="00CE1ED6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бюджетных ассигнований местно</w:t>
      </w:r>
      <w:r>
        <w:rPr>
          <w:rFonts w:ascii="Arial" w:hAnsi="Arial" w:cs="Arial"/>
          <w:sz w:val="24"/>
          <w:szCs w:val="24"/>
          <w:lang w:eastAsia="ru-RU"/>
        </w:rPr>
        <w:t>го бюджета определен на основе 2023 год –</w:t>
      </w:r>
    </w:p>
    <w:p w:rsidR="00CE1ED6" w:rsidRPr="008C4FD9" w:rsidRDefault="00CE1ED6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2028 г  </w:t>
      </w:r>
      <w:r w:rsidRPr="00332F32">
        <w:rPr>
          <w:rFonts w:ascii="Arial" w:hAnsi="Arial" w:cs="Arial"/>
          <w:sz w:val="24"/>
          <w:szCs w:val="24"/>
          <w:lang w:eastAsia="ru-RU"/>
        </w:rPr>
        <w:t xml:space="preserve">прогнозных оценок расходов и </w:t>
      </w:r>
      <w:r>
        <w:rPr>
          <w:rFonts w:ascii="Arial" w:hAnsi="Arial" w:cs="Arial"/>
          <w:sz w:val="24"/>
          <w:szCs w:val="24"/>
          <w:lang w:eastAsia="ru-RU"/>
        </w:rPr>
        <w:t>8248,1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CE1ED6" w:rsidRPr="008C4FD9" w:rsidRDefault="00CE1ED6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2023 год – 1230,2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E1ED6" w:rsidRPr="008C4FD9" w:rsidRDefault="00CE1ED6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1294,3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CE1ED6" w:rsidRPr="005968A2" w:rsidRDefault="00CE1ED6" w:rsidP="00332F32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2025 год – 1430,9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</w:t>
      </w:r>
    </w:p>
    <w:p w:rsidR="00CE1ED6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2026 год – 1430,9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CE1ED6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2027 год – 1430,9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CE1ED6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2028 год – 1430,9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CE1ED6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Основными условиями минимизации административных рисков являются: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повышение эффективности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взаимодействия участников реализации Программы;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3"/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CE1ED6" w:rsidRPr="00C432CA" w:rsidRDefault="00CE1ED6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E1ED6" w:rsidRPr="00C432CA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х1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CE1ED6" w:rsidRPr="00BE1825">
        <w:trPr>
          <w:tblCellSpacing w:w="15" w:type="dxa"/>
        </w:trPr>
        <w:tc>
          <w:tcPr>
            <w:tcW w:w="0" w:type="auto"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</w:tcPr>
          <w:p w:rsidR="00CE1ED6" w:rsidRPr="00C432CA" w:rsidRDefault="00CE1ED6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CE1ED6" w:rsidRPr="00C432CA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>выражается в: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развитии библиотечного дела на новой современной основе;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CE1ED6" w:rsidRDefault="00CE1ED6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CE1ED6" w:rsidSect="0042699E"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CE1ED6" w:rsidRPr="00C432CA" w:rsidRDefault="00CE1ED6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8C4FD9" w:rsidRDefault="00CE1ED6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территории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сельсовет» Горшеченског</w:t>
      </w:r>
      <w:r>
        <w:rPr>
          <w:rFonts w:ascii="Arial" w:hAnsi="Arial" w:cs="Arial"/>
          <w:sz w:val="24"/>
          <w:szCs w:val="24"/>
          <w:lang w:eastAsia="ru-RU"/>
        </w:rPr>
        <w:t xml:space="preserve">о района Курской области </w:t>
      </w:r>
      <w:r w:rsidRPr="008C4FD9">
        <w:rPr>
          <w:rFonts w:ascii="Arial" w:hAnsi="Arial" w:cs="Arial"/>
          <w:sz w:val="24"/>
          <w:szCs w:val="24"/>
          <w:lang w:eastAsia="ru-RU"/>
        </w:rPr>
        <w:t>»</w:t>
      </w:r>
    </w:p>
    <w:p w:rsidR="00CE1ED6" w:rsidRPr="008C4FD9" w:rsidRDefault="00CE1ED6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577"/>
        <w:gridCol w:w="880"/>
        <w:gridCol w:w="990"/>
        <w:gridCol w:w="880"/>
        <w:gridCol w:w="880"/>
        <w:gridCol w:w="770"/>
        <w:gridCol w:w="770"/>
        <w:gridCol w:w="865"/>
        <w:gridCol w:w="761"/>
      </w:tblGrid>
      <w:tr w:rsidR="00CE1ED6" w:rsidRPr="008C4FD9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CE1ED6" w:rsidRPr="008C4FD9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4A615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</w:tr>
      <w:tr w:rsidR="00CE1ED6" w:rsidRPr="008C4FD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4A615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учреждениях, по сравнению с 2018</w:t>
            </w:r>
            <w:r w:rsidRPr="008C4FD9">
              <w:rPr>
                <w:rFonts w:ascii="Arial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областных библиотек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ED6" w:rsidRPr="008C4FD9" w:rsidRDefault="00CE1ED6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CE1ED6" w:rsidRPr="008C4FD9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355D07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8C4FD9" w:rsidRDefault="00CE1ED6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t>Приложение № 2 к Муниципальной целевой программе «Развитие культуры на территории муниципального образования «</w:t>
      </w:r>
      <w:r>
        <w:rPr>
          <w:rFonts w:ascii="Arial" w:hAnsi="Arial" w:cs="Arial"/>
          <w:lang w:eastAsia="ru-RU"/>
        </w:rPr>
        <w:t>Среднеапоченский</w:t>
      </w:r>
      <w:r w:rsidRPr="008C4FD9">
        <w:rPr>
          <w:rFonts w:ascii="Arial" w:hAnsi="Arial" w:cs="Arial"/>
          <w:lang w:eastAsia="ru-RU"/>
        </w:rPr>
        <w:t xml:space="preserve"> сельсовет» Горшеченског</w:t>
      </w:r>
      <w:r>
        <w:rPr>
          <w:rFonts w:ascii="Arial" w:hAnsi="Arial" w:cs="Arial"/>
          <w:lang w:eastAsia="ru-RU"/>
        </w:rPr>
        <w:t xml:space="preserve">о района Курской области </w:t>
      </w:r>
      <w:r w:rsidRPr="008C4FD9">
        <w:rPr>
          <w:rFonts w:ascii="Arial" w:hAnsi="Arial" w:cs="Arial"/>
          <w:lang w:eastAsia="ru-RU"/>
        </w:rPr>
        <w:t>» Перечень основных мероприятий муниципальной целевой программы</w:t>
      </w:r>
    </w:p>
    <w:p w:rsidR="00CE1ED6" w:rsidRPr="008C4FD9" w:rsidRDefault="00CE1ED6" w:rsidP="00355D07">
      <w:pPr>
        <w:spacing w:after="0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  <w:bCs/>
        </w:rPr>
        <w:t>муниципальной целевой программы</w:t>
      </w:r>
    </w:p>
    <w:p w:rsidR="00CE1ED6" w:rsidRPr="008C4FD9" w:rsidRDefault="00CE1ED6" w:rsidP="008C4FD9">
      <w:pPr>
        <w:spacing w:line="228" w:lineRule="auto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</w:rPr>
        <w:t>«Развитие культуры на территории муниципального образования «</w:t>
      </w:r>
      <w:r>
        <w:rPr>
          <w:rFonts w:ascii="Arial" w:hAnsi="Arial" w:cs="Arial"/>
          <w:b/>
          <w:bCs/>
        </w:rPr>
        <w:t>Среднеапоченский</w:t>
      </w:r>
      <w:r w:rsidRPr="008C4FD9">
        <w:rPr>
          <w:rFonts w:ascii="Arial" w:hAnsi="Arial" w:cs="Arial"/>
          <w:b/>
          <w:bCs/>
        </w:rPr>
        <w:t xml:space="preserve"> сельсовет» Горшеченског</w:t>
      </w:r>
      <w:r>
        <w:rPr>
          <w:rFonts w:ascii="Arial" w:hAnsi="Arial" w:cs="Arial"/>
          <w:b/>
          <w:bCs/>
        </w:rPr>
        <w:t xml:space="preserve">о района Курской области </w:t>
      </w:r>
      <w:r w:rsidRPr="008C4FD9">
        <w:rPr>
          <w:rFonts w:ascii="Arial" w:hAnsi="Arial" w:cs="Arial"/>
          <w:b/>
          <w:bCs/>
        </w:rPr>
        <w:t>»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CE1ED6" w:rsidRP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№</w:t>
            </w:r>
          </w:p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CE1ED6" w:rsidRP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традиционной народной культуры, 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</w:t>
            </w:r>
          </w:p>
          <w:p w:rsidR="00CE1ED6" w:rsidRPr="008C4FD9" w:rsidRDefault="00CE1ED6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Сокращение сети учреждений культуры; 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обеспеченность </w:t>
            </w:r>
            <w:r w:rsidRPr="008C4FD9">
              <w:rPr>
                <w:rFonts w:ascii="Arial" w:hAnsi="Arial" w:cs="Arial"/>
              </w:rPr>
              <w:lastRenderedPageBreak/>
              <w:t>зрительскими местами учреждений культурно-досугового типа в расчете на 1 тыс. человек населения</w:t>
            </w: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</w:t>
            </w:r>
          </w:p>
          <w:p w:rsidR="00CE1ED6" w:rsidRPr="008C4FD9" w:rsidRDefault="00CE1ED6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Выявление  и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</w:t>
            </w:r>
          </w:p>
          <w:p w:rsidR="00CE1ED6" w:rsidRPr="008C4FD9" w:rsidRDefault="00CE1ED6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Сохранение и популяризация различных жанров </w:t>
            </w:r>
            <w:r w:rsidRPr="008C4FD9">
              <w:rPr>
                <w:rFonts w:ascii="Arial" w:hAnsi="Arial" w:cs="Arial"/>
              </w:rPr>
              <w:lastRenderedPageBreak/>
              <w:t>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Снижение количества участников от муниципального образования в районных и областных конкурсах.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Частичная утрата уровня  мастерства в различных жанрах художественного </w:t>
            </w:r>
            <w:r w:rsidRPr="008C4FD9">
              <w:rPr>
                <w:rFonts w:ascii="Arial" w:hAnsi="Arial" w:cs="Arial"/>
              </w:rPr>
              <w:lastRenderedPageBreak/>
              <w:t>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Увеличение количества лауреатов районных, областных и Всероссийских конкурсов.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</w:t>
            </w:r>
          </w:p>
          <w:p w:rsidR="00CE1ED6" w:rsidRPr="008C4FD9" w:rsidRDefault="00CE1ED6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CE1ED6" w:rsidRPr="008C4FD9" w:rsidRDefault="00CE1ED6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 </w:t>
            </w:r>
          </w:p>
          <w:p w:rsidR="00CE1ED6" w:rsidRPr="008C4FD9" w:rsidRDefault="00CE1ED6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имиджа муниципального образования «</w:t>
            </w:r>
            <w:r>
              <w:rPr>
                <w:rFonts w:ascii="Arial" w:hAnsi="Arial" w:cs="Arial"/>
              </w:rPr>
              <w:t>Среднеапоченский</w:t>
            </w:r>
            <w:r w:rsidRPr="008C4FD9">
              <w:rPr>
                <w:rFonts w:ascii="Arial" w:hAnsi="Arial" w:cs="Arial"/>
              </w:rPr>
              <w:t xml:space="preserve"> сельсовет»;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E1ED6" w:rsidRP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Обеспечение деятельности подведомственных </w:t>
            </w:r>
            <w:r w:rsidRPr="008C4FD9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МКУК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Головищенский СК, </w:t>
            </w:r>
          </w:p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эффективной системы управления реализацией муниципальной программой, </w:t>
            </w:r>
            <w:r w:rsidRPr="008C4FD9">
              <w:rPr>
                <w:rFonts w:ascii="Arial" w:hAnsi="Arial" w:cs="Arial"/>
              </w:rPr>
              <w:lastRenderedPageBreak/>
              <w:t>эффективное управление отраслью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обслуживания населения и хранения фондов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Среднеапоченский</w:t>
            </w:r>
            <w:r w:rsidRPr="008C4FD9">
              <w:rPr>
                <w:rFonts w:ascii="Arial" w:hAnsi="Arial" w:cs="Arial"/>
              </w:rPr>
              <w:t xml:space="preserve"> сельсовет» Горшеченског</w:t>
            </w:r>
            <w:r>
              <w:rPr>
                <w:rFonts w:ascii="Arial" w:hAnsi="Arial" w:cs="Arial"/>
              </w:rPr>
              <w:t xml:space="preserve">о района Курской области </w:t>
            </w:r>
            <w:r w:rsidRPr="008C4FD9">
              <w:rPr>
                <w:rFonts w:ascii="Arial" w:hAnsi="Arial" w:cs="Arial"/>
              </w:rPr>
              <w:t>», достижение ее целей и задач;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условий для привлечения в отрасль культуры высококвалифицированных кадров, в том числе </w:t>
            </w:r>
            <w:r w:rsidRPr="008C4FD9">
              <w:rPr>
                <w:rFonts w:ascii="Arial" w:hAnsi="Arial" w:cs="Arial"/>
              </w:rPr>
              <w:lastRenderedPageBreak/>
              <w:t>молодых специалистов;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Снижение качества и количества услуг, оказываемых подведомственными учреждениями </w:t>
            </w:r>
            <w:r w:rsidRPr="008C4FD9">
              <w:rPr>
                <w:rFonts w:ascii="Arial" w:hAnsi="Arial" w:cs="Arial"/>
              </w:rPr>
              <w:lastRenderedPageBreak/>
              <w:t>населению области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>Снижение спектра 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E1ED6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плату и начисления на выплаты по оплате труда </w:t>
            </w:r>
            <w:r w:rsidRPr="008C4FD9">
              <w:rPr>
                <w:rFonts w:ascii="Arial" w:hAnsi="Arial" w:cs="Arial"/>
                <w:color w:val="000000"/>
              </w:rPr>
              <w:lastRenderedPageBreak/>
              <w:t xml:space="preserve">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t>Среднеапоченского</w:t>
            </w:r>
            <w:r w:rsidRPr="008C4FD9">
              <w:rPr>
                <w:rFonts w:ascii="Arial" w:hAnsi="Arial" w:cs="Arial"/>
              </w:rPr>
              <w:t xml:space="preserve"> сельсовета Горшеченского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оплаты труда работников муниципальных учреждений культуры и доведение ее до уровня  средней заработной платы по Курской </w:t>
            </w:r>
            <w:r w:rsidRPr="008C4F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8C4FD9" w:rsidRDefault="00CE1ED6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CE1ED6" w:rsidRPr="008C4FD9" w:rsidRDefault="00CE1ED6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</w:t>
            </w:r>
            <w:r w:rsidRPr="008C4FD9">
              <w:rPr>
                <w:rFonts w:ascii="Arial" w:hAnsi="Arial" w:cs="Arial"/>
              </w:rPr>
              <w:lastRenderedPageBreak/>
              <w:t>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CE1ED6" w:rsidRPr="008C4FD9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CE1ED6" w:rsidRPr="008C4FD9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Default="00CE1ED6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1ED6" w:rsidRPr="00355D07" w:rsidRDefault="00CE1ED6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3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к Муниципальной целевой программе «Развитие культуры на территории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 района Курской области</w:t>
      </w:r>
      <w:r w:rsidRPr="00355D07">
        <w:rPr>
          <w:rFonts w:ascii="Arial" w:hAnsi="Arial" w:cs="Arial"/>
          <w:sz w:val="24"/>
          <w:szCs w:val="24"/>
          <w:lang w:eastAsia="ru-RU"/>
        </w:rPr>
        <w:t>»</w:t>
      </w:r>
    </w:p>
    <w:p w:rsidR="00CE1ED6" w:rsidRPr="00355D07" w:rsidRDefault="00CE1ED6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Среднеапоченский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Горшеченского района Курской области 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» (тыс. 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710"/>
        <w:gridCol w:w="1760"/>
        <w:gridCol w:w="1100"/>
        <w:gridCol w:w="990"/>
        <w:gridCol w:w="990"/>
        <w:gridCol w:w="990"/>
        <w:gridCol w:w="990"/>
        <w:gridCol w:w="964"/>
      </w:tblGrid>
      <w:tr w:rsidR="00CE1ED6" w:rsidRPr="00BE1825">
        <w:trPr>
          <w:trHeight w:val="1044"/>
          <w:tblHeader/>
        </w:trPr>
        <w:tc>
          <w:tcPr>
            <w:tcW w:w="6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CE1ED6" w:rsidRPr="00BE1825" w:rsidRDefault="00CE1ED6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CE1ED6" w:rsidRPr="00BE1825" w:rsidRDefault="00CE1ED6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CE1ED6" w:rsidRPr="00BE1825">
        <w:trPr>
          <w:trHeight w:val="141"/>
          <w:tblHeader/>
        </w:trPr>
        <w:tc>
          <w:tcPr>
            <w:tcW w:w="6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355D07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BE1825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4A6154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CE1ED6" w:rsidRPr="005968A2">
        <w:trPr>
          <w:trHeight w:val="776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4C2EB3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1230,2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4C2EB3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4C2EB3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C2104E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C2104E" w:rsidRDefault="00CE1ED6" w:rsidP="004A6154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C2104E" w:rsidRDefault="00CE1ED6" w:rsidP="00C210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</w:tr>
      <w:tr w:rsidR="00CE1ED6" w:rsidRPr="005968A2">
        <w:trPr>
          <w:trHeight w:val="998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Среднеапоченский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8C4FD9" w:rsidRDefault="00CE1ED6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«Среднеапоченский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«Среднедороженский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Головищенск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ий СК, </w:t>
            </w:r>
          </w:p>
          <w:p w:rsidR="00CE1ED6" w:rsidRPr="00BE1825" w:rsidRDefault="00CE1ED6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4C2EB3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1230,2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4C2EB3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1294,3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4C2EB3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4C2EB3" w:rsidRDefault="00CE1ED6" w:rsidP="004A615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1430,9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4C2EB3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1430,9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4C2EB3" w:rsidRDefault="00CE1ED6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1430,9</w:t>
            </w:r>
          </w:p>
        </w:tc>
      </w:tr>
      <w:tr w:rsidR="00CE1ED6" w:rsidRPr="00BE1825">
        <w:trPr>
          <w:trHeight w:val="559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1ED6" w:rsidRPr="00BE1825">
        <w:trPr>
          <w:trHeight w:val="695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BE1825">
        <w:trPr>
          <w:trHeight w:val="30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BE1825">
        <w:trPr>
          <w:trHeight w:val="30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D6" w:rsidRPr="00BE1825">
        <w:trPr>
          <w:trHeight w:val="30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Pr="00BE1825" w:rsidRDefault="00CE1ED6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ED6" w:rsidRPr="00355D07" w:rsidRDefault="00CE1ED6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E1ED6" w:rsidRPr="00355D07" w:rsidRDefault="00CE1ED6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CE1ED6" w:rsidRPr="00C432CA" w:rsidRDefault="00CE1ED6" w:rsidP="00EF351E">
      <w:pPr>
        <w:jc w:val="both"/>
        <w:rPr>
          <w:rFonts w:ascii="Arial" w:hAnsi="Arial" w:cs="Arial"/>
          <w:sz w:val="24"/>
          <w:szCs w:val="24"/>
        </w:rPr>
      </w:pPr>
    </w:p>
    <w:sectPr w:rsidR="00CE1ED6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43FF5"/>
    <w:rsid w:val="00054369"/>
    <w:rsid w:val="00057F35"/>
    <w:rsid w:val="000C0439"/>
    <w:rsid w:val="000E141E"/>
    <w:rsid w:val="000E53BD"/>
    <w:rsid w:val="00147675"/>
    <w:rsid w:val="001610A7"/>
    <w:rsid w:val="001618C6"/>
    <w:rsid w:val="00176B98"/>
    <w:rsid w:val="001826B6"/>
    <w:rsid w:val="0018751F"/>
    <w:rsid w:val="001C098C"/>
    <w:rsid w:val="00225EA2"/>
    <w:rsid w:val="00237974"/>
    <w:rsid w:val="00246FF3"/>
    <w:rsid w:val="002537D4"/>
    <w:rsid w:val="00281BD7"/>
    <w:rsid w:val="002854B5"/>
    <w:rsid w:val="002C1C70"/>
    <w:rsid w:val="002C37B3"/>
    <w:rsid w:val="002D4549"/>
    <w:rsid w:val="002E536A"/>
    <w:rsid w:val="002F1BCF"/>
    <w:rsid w:val="002F379C"/>
    <w:rsid w:val="00323534"/>
    <w:rsid w:val="00323937"/>
    <w:rsid w:val="00326D56"/>
    <w:rsid w:val="00332F32"/>
    <w:rsid w:val="003410E9"/>
    <w:rsid w:val="00355D07"/>
    <w:rsid w:val="003A0E6E"/>
    <w:rsid w:val="003E17BD"/>
    <w:rsid w:val="0042699E"/>
    <w:rsid w:val="00450CAA"/>
    <w:rsid w:val="0047058F"/>
    <w:rsid w:val="00472E80"/>
    <w:rsid w:val="004966E8"/>
    <w:rsid w:val="004A6154"/>
    <w:rsid w:val="004C2EB3"/>
    <w:rsid w:val="00525BE0"/>
    <w:rsid w:val="005968A2"/>
    <w:rsid w:val="005A0ED5"/>
    <w:rsid w:val="005D2261"/>
    <w:rsid w:val="005D5401"/>
    <w:rsid w:val="005E1E6E"/>
    <w:rsid w:val="00627138"/>
    <w:rsid w:val="00633562"/>
    <w:rsid w:val="00635D48"/>
    <w:rsid w:val="0066060F"/>
    <w:rsid w:val="006671BE"/>
    <w:rsid w:val="00667F8D"/>
    <w:rsid w:val="006E6DC5"/>
    <w:rsid w:val="00701A90"/>
    <w:rsid w:val="0076438A"/>
    <w:rsid w:val="007871EE"/>
    <w:rsid w:val="007A1337"/>
    <w:rsid w:val="007C3191"/>
    <w:rsid w:val="00832CE4"/>
    <w:rsid w:val="00841D22"/>
    <w:rsid w:val="00865EB3"/>
    <w:rsid w:val="008816E7"/>
    <w:rsid w:val="008C4FD9"/>
    <w:rsid w:val="008D1460"/>
    <w:rsid w:val="008D3432"/>
    <w:rsid w:val="008F2273"/>
    <w:rsid w:val="00903A0E"/>
    <w:rsid w:val="0090587E"/>
    <w:rsid w:val="00916FFD"/>
    <w:rsid w:val="00985597"/>
    <w:rsid w:val="0099042C"/>
    <w:rsid w:val="009A2078"/>
    <w:rsid w:val="009D50D8"/>
    <w:rsid w:val="009E1272"/>
    <w:rsid w:val="009E1801"/>
    <w:rsid w:val="009E2794"/>
    <w:rsid w:val="009F7E3A"/>
    <w:rsid w:val="00A276FC"/>
    <w:rsid w:val="00A32404"/>
    <w:rsid w:val="00A45941"/>
    <w:rsid w:val="00A60E26"/>
    <w:rsid w:val="00AA4B39"/>
    <w:rsid w:val="00AD66A7"/>
    <w:rsid w:val="00AF2047"/>
    <w:rsid w:val="00AF2F61"/>
    <w:rsid w:val="00B56C90"/>
    <w:rsid w:val="00BE1825"/>
    <w:rsid w:val="00C2104E"/>
    <w:rsid w:val="00C32973"/>
    <w:rsid w:val="00C432CA"/>
    <w:rsid w:val="00C600B4"/>
    <w:rsid w:val="00C720F9"/>
    <w:rsid w:val="00C77F9C"/>
    <w:rsid w:val="00C831D7"/>
    <w:rsid w:val="00CA54FC"/>
    <w:rsid w:val="00CD0B2A"/>
    <w:rsid w:val="00CE1ED6"/>
    <w:rsid w:val="00D33A67"/>
    <w:rsid w:val="00D401F7"/>
    <w:rsid w:val="00D85C92"/>
    <w:rsid w:val="00D94A9C"/>
    <w:rsid w:val="00DA2C25"/>
    <w:rsid w:val="00DD1782"/>
    <w:rsid w:val="00DD4C9E"/>
    <w:rsid w:val="00E03E9B"/>
    <w:rsid w:val="00E041DE"/>
    <w:rsid w:val="00E40177"/>
    <w:rsid w:val="00E464F8"/>
    <w:rsid w:val="00E65482"/>
    <w:rsid w:val="00EA30D9"/>
    <w:rsid w:val="00EF2FE6"/>
    <w:rsid w:val="00EF351E"/>
    <w:rsid w:val="00F35B1D"/>
    <w:rsid w:val="00F51701"/>
    <w:rsid w:val="00F51ED4"/>
    <w:rsid w:val="00F5318B"/>
    <w:rsid w:val="00F67906"/>
    <w:rsid w:val="00F864B2"/>
    <w:rsid w:val="00FC4458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042F-4CCD-47CF-A1DB-E1D25E48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rFonts w:cs="Calibri"/>
      <w:sz w:val="26"/>
      <w:szCs w:val="26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</w:style>
  <w:style w:type="character" w:customStyle="1" w:styleId="s3">
    <w:name w:val="s3"/>
    <w:uiPriority w:val="99"/>
    <w:rsid w:val="00525BE0"/>
  </w:style>
  <w:style w:type="character" w:customStyle="1" w:styleId="s4">
    <w:name w:val="s4"/>
    <w:uiPriority w:val="99"/>
    <w:rsid w:val="00525BE0"/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</w:style>
  <w:style w:type="character" w:styleId="a4">
    <w:name w:val="Hyperlink"/>
    <w:uiPriority w:val="99"/>
    <w:rsid w:val="00F35B1D"/>
    <w:rPr>
      <w:color w:val="auto"/>
      <w:u w:val="single"/>
    </w:rPr>
  </w:style>
  <w:style w:type="table" w:styleId="a5">
    <w:name w:val="Table Grid"/>
    <w:basedOn w:val="a1"/>
    <w:uiPriority w:val="99"/>
    <w:locked/>
    <w:rsid w:val="004269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5520</Words>
  <Characters>31466</Characters>
  <Application>Microsoft Office Word</Application>
  <DocSecurity>0</DocSecurity>
  <Lines>262</Lines>
  <Paragraphs>73</Paragraphs>
  <ScaleCrop>false</ScaleCrop>
  <Company/>
  <LinksUpToDate>false</LinksUpToDate>
  <CharactersWithSpaces>36913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57</cp:revision>
  <cp:lastPrinted>2021-11-18T13:37:00Z</cp:lastPrinted>
  <dcterms:created xsi:type="dcterms:W3CDTF">2014-02-05T11:05:00Z</dcterms:created>
  <dcterms:modified xsi:type="dcterms:W3CDTF">2021-11-29T08:29:00Z</dcterms:modified>
</cp:coreProperties>
</file>