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AB" w:rsidRDefault="00EC42AB" w:rsidP="00EC42AB">
      <w:pPr>
        <w:rPr>
          <w:rFonts w:ascii="Arial" w:hAnsi="Arial" w:cs="Arial"/>
          <w:sz w:val="24"/>
          <w:szCs w:val="24"/>
        </w:rPr>
      </w:pPr>
      <w:r w:rsidRPr="00EC42A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EC42AB" w:rsidRDefault="00EC42AB" w:rsidP="00EC42AB">
      <w:pPr>
        <w:rPr>
          <w:rFonts w:ascii="Arial" w:hAnsi="Arial" w:cs="Arial"/>
          <w:sz w:val="24"/>
          <w:szCs w:val="24"/>
        </w:rPr>
      </w:pPr>
    </w:p>
    <w:p w:rsidR="00EC42AB" w:rsidRDefault="00EC42AB" w:rsidP="00EC42AB">
      <w:pPr>
        <w:rPr>
          <w:rFonts w:ascii="Arial" w:hAnsi="Arial" w:cs="Arial"/>
          <w:sz w:val="24"/>
          <w:szCs w:val="24"/>
        </w:rPr>
      </w:pPr>
    </w:p>
    <w:p w:rsidR="00EC42AB" w:rsidRDefault="00EC42AB" w:rsidP="00EC42AB">
      <w:pPr>
        <w:rPr>
          <w:rFonts w:ascii="Arial" w:hAnsi="Arial" w:cs="Arial"/>
          <w:sz w:val="24"/>
          <w:szCs w:val="24"/>
        </w:rPr>
      </w:pPr>
    </w:p>
    <w:p w:rsidR="00EC42AB" w:rsidRPr="00EC42AB" w:rsidRDefault="00EC42AB" w:rsidP="00EC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Pr="00EC42AB">
        <w:rPr>
          <w:rFonts w:ascii="Arial" w:hAnsi="Arial" w:cs="Arial"/>
          <w:sz w:val="24"/>
          <w:szCs w:val="24"/>
        </w:rPr>
        <w:t xml:space="preserve">   информация</w:t>
      </w:r>
    </w:p>
    <w:p w:rsidR="00EC42AB" w:rsidRPr="00EC42AB" w:rsidRDefault="00EC42AB" w:rsidP="00EC42AB">
      <w:pPr>
        <w:rPr>
          <w:rFonts w:ascii="Arial" w:hAnsi="Arial" w:cs="Arial"/>
          <w:sz w:val="24"/>
          <w:szCs w:val="24"/>
        </w:rPr>
      </w:pPr>
    </w:p>
    <w:p w:rsidR="00443AC5" w:rsidRPr="00EC42AB" w:rsidRDefault="00EC42AB" w:rsidP="00EC42AB">
      <w:pPr>
        <w:rPr>
          <w:rFonts w:ascii="Arial" w:hAnsi="Arial" w:cs="Arial"/>
          <w:sz w:val="24"/>
          <w:szCs w:val="24"/>
        </w:rPr>
      </w:pPr>
      <w:r w:rsidRPr="00EC42AB">
        <w:rPr>
          <w:rFonts w:ascii="Arial" w:hAnsi="Arial" w:cs="Arial"/>
          <w:sz w:val="24"/>
          <w:szCs w:val="24"/>
        </w:rPr>
        <w:t xml:space="preserve"> Администрация Среднеапоченского сельсовета Горшеченского района Курской области информирует, что за 2023 год в сфере благоустройства было заключено 12 договоров ГПХ на общую сумму 384900 рублей . Девять из них заключено на окос сорной растительности  сумма 356150 рублей, два  на уборку мусора вдоль асфальтированной дороги сумма 13250 рублей, один на обрубку и опил кустарников и деревьев на кладбищах на сумму 15500 рублей.</w:t>
      </w:r>
    </w:p>
    <w:sectPr w:rsidR="00443AC5" w:rsidRPr="00E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9"/>
    <w:rsid w:val="00443AC5"/>
    <w:rsid w:val="00EC42AB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2023-12-29T09:32:00Z</dcterms:created>
  <dcterms:modified xsi:type="dcterms:W3CDTF">2023-12-29T09:33:00Z</dcterms:modified>
</cp:coreProperties>
</file>